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429C872B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>5</w:t>
      </w:r>
      <w:r w:rsidR="00EF0F8B">
        <w:rPr>
          <w:rFonts w:ascii="Times New Roman" w:eastAsia="Times New Roman" w:hAnsi="Times New Roman" w:cs="Times New Roman"/>
          <w:bCs/>
          <w:lang w:eastAsia="ru-RU"/>
        </w:rPr>
        <w:t>5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4CC0741" w14:textId="69B66CDC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EF0F8B">
        <w:rPr>
          <w:rFonts w:ascii="Times New Roman" w:eastAsia="Times New Roman" w:hAnsi="Times New Roman" w:cs="Times New Roman"/>
          <w:bCs/>
          <w:lang w:eastAsia="ru-RU"/>
        </w:rPr>
        <w:t>23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7A8CB45E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317553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31755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31755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31755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31755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317553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317553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28F5A13E" w:rsidR="00E159BA" w:rsidRPr="00627C0E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E159BA" w:rsidRPr="00627C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выполнение </w:t>
      </w:r>
      <w:r w:rsidR="00E40C05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строительно-монтажных работ</w:t>
      </w:r>
      <w:r w:rsidR="00C8327E" w:rsidRPr="00E40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327E" w:rsidRPr="001C123E">
        <w:rPr>
          <w:rFonts w:ascii="Times New Roman" w:eastAsia="Times New Roman" w:hAnsi="Times New Roman" w:cs="Times New Roman"/>
          <w:lang w:eastAsia="ru-RU"/>
        </w:rPr>
        <w:t>капитального ремонта общего имущества в многоквартирных домах Ярославской области</w:t>
      </w:r>
      <w:r w:rsidR="00786DA3" w:rsidRPr="001C123E">
        <w:rPr>
          <w:rFonts w:ascii="Times New Roman" w:eastAsia="Times New Roman" w:hAnsi="Times New Roman" w:cs="Times New Roman"/>
          <w:lang w:eastAsia="ru-RU"/>
        </w:rPr>
        <w:t>.</w:t>
      </w:r>
    </w:p>
    <w:p w14:paraId="0BF217E0" w14:textId="0A75895C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proofErr w:type="spellEnd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ED9FC8C" w14:textId="77777777" w:rsidR="00745624" w:rsidRDefault="00745624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 xml:space="preserve">с даты </w:t>
      </w:r>
      <w:proofErr w:type="gramStart"/>
      <w:r w:rsidR="00B13BF4" w:rsidRPr="0043400B">
        <w:t>получения запроса</w:t>
      </w:r>
      <w:proofErr w:type="gramEnd"/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 xml:space="preserve">в том числе выполненные по установленным </w:t>
      </w:r>
      <w:proofErr w:type="gramStart"/>
      <w:r w:rsidR="00E159BA" w:rsidRPr="0043400B">
        <w:t>формам</w:t>
      </w:r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0BC5FBC5" w:rsidR="00320ED1" w:rsidRPr="0043400B" w:rsidRDefault="00320ED1" w:rsidP="00EF0F09">
      <w:pPr>
        <w:pStyle w:val="-4"/>
      </w:pP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43400B" w:rsidRDefault="00E159BA" w:rsidP="00EF0F09">
      <w:pPr>
        <w:pStyle w:val="-4"/>
        <w:rPr>
          <w:b/>
        </w:rPr>
      </w:pPr>
      <w:r w:rsidRPr="0043400B">
        <w:t xml:space="preserve">Оформление и подписание </w:t>
      </w:r>
      <w:r w:rsidR="00BE15CC" w:rsidRPr="0043400B">
        <w:t>заявок</w:t>
      </w:r>
    </w:p>
    <w:p w14:paraId="2B38A68D" w14:textId="23CB7B52" w:rsidR="00E159BA" w:rsidRPr="0043400B" w:rsidRDefault="00E159BA" w:rsidP="00EF0F09">
      <w:pPr>
        <w:pStyle w:val="-4"/>
        <w:rPr>
          <w:b/>
        </w:rPr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1 )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Pr="0043400B" w:rsidRDefault="00E159BA" w:rsidP="00EF0F09">
      <w:pPr>
        <w:pStyle w:val="-4"/>
        <w:rPr>
          <w:b/>
        </w:rPr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E159BA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65BD82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 xml:space="preserve">, которые ранее были определены отвечающими условиям </w:t>
      </w:r>
      <w:proofErr w:type="gramStart"/>
      <w:r w:rsidRPr="0043400B">
        <w:t>конкурса</w:t>
      </w:r>
      <w:proofErr w:type="gramEnd"/>
      <w:r w:rsidRPr="0043400B">
        <w:t xml:space="preserve">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lastRenderedPageBreak/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4F8F29A9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B1679A" w:rsidRPr="0043400B">
        <w:t>1</w:t>
      </w:r>
      <w:r w:rsidR="00766FEB" w:rsidRPr="0043400B">
        <w:t>0</w:t>
      </w:r>
      <w:r w:rsidRPr="0043400B">
        <w:t xml:space="preserve"> (</w:t>
      </w:r>
      <w:r w:rsidR="00766FEB" w:rsidRPr="0043400B">
        <w:t>десяти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167B316E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proofErr w:type="gramStart"/>
      <w:r w:rsidRPr="0043400B">
        <w:t>Рыбинская,д.</w:t>
      </w:r>
      <w:proofErr w:type="gramEnd"/>
      <w:r w:rsidRPr="0043400B">
        <w:t xml:space="preserve">44 , </w:t>
      </w:r>
      <w:proofErr w:type="spellStart"/>
      <w:r w:rsidRPr="0043400B">
        <w:t>каб</w:t>
      </w:r>
      <w:proofErr w:type="spellEnd"/>
      <w:r w:rsidRPr="0043400B">
        <w:t>.№</w:t>
      </w:r>
      <w:r w:rsidR="00EF0F8B">
        <w:t xml:space="preserve"> 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6AC31ADC" w14:textId="72F6DD7E" w:rsidR="00CC04BD" w:rsidRPr="0043400B" w:rsidRDefault="00CC04BD" w:rsidP="00EF0F09">
      <w:pPr>
        <w:pStyle w:val="-4"/>
      </w:pPr>
      <w:r w:rsidRPr="0043400B">
        <w:br w:type="page"/>
      </w:r>
    </w:p>
    <w:p w14:paraId="039C24E9" w14:textId="77777777" w:rsidR="00E759BE" w:rsidRDefault="00E759BE" w:rsidP="00E759BE">
      <w:pPr>
        <w:shd w:val="clear" w:color="auto" w:fill="FFFFFF"/>
        <w:spacing w:before="0"/>
        <w:ind w:left="1146" w:right="2" w:firstLine="0"/>
        <w:rPr>
          <w:rFonts w:ascii="Times New Roman" w:eastAsia="Times New Roman" w:hAnsi="Times New Roman" w:cs="Times New Roman"/>
          <w:lang w:eastAsia="ru-RU"/>
        </w:rPr>
      </w:pPr>
    </w:p>
    <w:p w14:paraId="2A94B3C4" w14:textId="42C6BAB8" w:rsidR="00E159BA" w:rsidRPr="00034B51" w:rsidRDefault="00E159BA" w:rsidP="008B563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56254875"/>
      <w:r w:rsidRPr="00034B51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7401F3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Pr="007401F3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66EAEFAD" w14:textId="4AC652A3" w:rsidR="00E159BA" w:rsidRPr="007401F3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Номер факса: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06F2F8EE" w:rsidR="00F86A44" w:rsidRPr="00F86A44" w:rsidRDefault="00EF0F8B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.08.2016 г. 9-00 (время московское) - начало</w:t>
            </w:r>
          </w:p>
          <w:p w14:paraId="4DA48431" w14:textId="17913BD5" w:rsidR="00E159BA" w:rsidRPr="00A32BE1" w:rsidRDefault="00EF0F8B" w:rsidP="00EF0F8B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05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>. 0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7BC0612E" w:rsidR="00E159BA" w:rsidRPr="00A32BE1" w:rsidRDefault="00E159BA" w:rsidP="0060545B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FD536E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FD536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 xml:space="preserve">которые планируются к привлечению для выполнения соответствующих работ по форме, установленной конкурсной </w:t>
            </w:r>
            <w:proofErr w:type="gramStart"/>
            <w:r w:rsidR="005536A2" w:rsidRPr="002E25AA">
              <w:rPr>
                <w:rFonts w:ascii="Times New Roman" w:hAnsi="Times New Roman"/>
              </w:rPr>
              <w:t>документацией  с</w:t>
            </w:r>
            <w:proofErr w:type="gramEnd"/>
            <w:r w:rsidR="005536A2" w:rsidRPr="002E25AA">
              <w:rPr>
                <w:rFonts w:ascii="Times New Roman" w:hAnsi="Times New Roman"/>
              </w:rPr>
              <w:t xml:space="preserve">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1B44">
              <w:rPr>
                <w:rFonts w:ascii="Times New Roman" w:hAnsi="Times New Roman"/>
              </w:rPr>
              <w:t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процентов) (код по КНД 1120101),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2E25AA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7C9A8CB7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 xml:space="preserve">Сведения </w:t>
            </w:r>
            <w:proofErr w:type="gramStart"/>
            <w:r w:rsidRPr="006331A7">
              <w:rPr>
                <w:rFonts w:ascii="Times New Roman" w:hAnsi="Times New Roman"/>
              </w:rPr>
              <w:t>о  положительных</w:t>
            </w:r>
            <w:proofErr w:type="gramEnd"/>
            <w:r w:rsidRPr="006331A7">
              <w:rPr>
                <w:rFonts w:ascii="Times New Roman" w:hAnsi="Times New Roman"/>
              </w:rPr>
              <w:t xml:space="preserve"> отзывов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мещенными </w:t>
            </w:r>
            <w:proofErr w:type="gramStart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на  интернет</w:t>
            </w:r>
            <w:proofErr w:type="gramEnd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4364D71" w:rsidR="00E159BA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1165">
              <w:rPr>
                <w:rFonts w:ascii="Times New Roman" w:eastAsia="Times New Roman" w:hAnsi="Times New Roman" w:cs="Times New Roman"/>
                <w:lang w:eastAsia="ru-RU"/>
              </w:rPr>
              <w:t>58-24-02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6DD709BB" w14:textId="6F397A37" w:rsidR="00EA7152" w:rsidRDefault="00EA7152" w:rsidP="00DE3F18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7263845D" w14:textId="77777777" w:rsidR="00D848CD" w:rsidRPr="00D848CD" w:rsidRDefault="00D848CD" w:rsidP="00D848CD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A7152" w:rsidRPr="003D2519" w14:paraId="08959F98" w14:textId="77777777" w:rsidTr="004E4BA7">
        <w:trPr>
          <w:jc w:val="center"/>
        </w:trPr>
        <w:tc>
          <w:tcPr>
            <w:tcW w:w="567" w:type="dxa"/>
          </w:tcPr>
          <w:p w14:paraId="6D9D4F08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46EDC8B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B3AC49E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A7152" w:rsidRPr="003D2519" w14:paraId="11314758" w14:textId="77777777" w:rsidTr="004E4BA7">
        <w:trPr>
          <w:jc w:val="center"/>
        </w:trPr>
        <w:tc>
          <w:tcPr>
            <w:tcW w:w="567" w:type="dxa"/>
          </w:tcPr>
          <w:p w14:paraId="6F18348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0EA4F71E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69A8F0F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A7152" w:rsidRPr="003D2519" w14:paraId="077EC265" w14:textId="77777777" w:rsidTr="004E4BA7">
        <w:trPr>
          <w:jc w:val="center"/>
        </w:trPr>
        <w:tc>
          <w:tcPr>
            <w:tcW w:w="567" w:type="dxa"/>
          </w:tcPr>
          <w:p w14:paraId="2A8AA80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245BE836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74E81BC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A7152" w:rsidRPr="003D2519" w14:paraId="6D7A33C6" w14:textId="77777777" w:rsidTr="004E4BA7">
        <w:trPr>
          <w:jc w:val="center"/>
        </w:trPr>
        <w:tc>
          <w:tcPr>
            <w:tcW w:w="567" w:type="dxa"/>
          </w:tcPr>
          <w:p w14:paraId="24F43E3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49027255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DE8F7D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A7152" w:rsidRPr="003D2519" w14:paraId="4ECC5247" w14:textId="77777777" w:rsidTr="004E4BA7">
        <w:trPr>
          <w:jc w:val="center"/>
        </w:trPr>
        <w:tc>
          <w:tcPr>
            <w:tcW w:w="567" w:type="dxa"/>
          </w:tcPr>
          <w:p w14:paraId="0421264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06C5075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FB7873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EA7152" w:rsidRPr="003D2519" w14:paraId="6DC9E2A0" w14:textId="77777777" w:rsidTr="004E4BA7">
        <w:trPr>
          <w:jc w:val="center"/>
        </w:trPr>
        <w:tc>
          <w:tcPr>
            <w:tcW w:w="567" w:type="dxa"/>
          </w:tcPr>
          <w:p w14:paraId="0F7D5832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56AD26F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4BBBCEE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7EFD6E92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B87E48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0756004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09568934" w14:textId="21DE90BE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работ.Наличие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proofErr w:type="gram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>)  для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57DA53B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A7152" w:rsidRPr="003D2519" w14:paraId="32379237" w14:textId="77777777" w:rsidTr="004E4BA7">
        <w:trPr>
          <w:jc w:val="center"/>
        </w:trPr>
        <w:tc>
          <w:tcPr>
            <w:tcW w:w="567" w:type="dxa"/>
          </w:tcPr>
          <w:p w14:paraId="750803D7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4F8848B7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3A5A66D4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39279E6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FF4583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1BE81EED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32F73CB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51E22C4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CC95ECE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446FBD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A7152" w:rsidRPr="003D2519" w14:paraId="3E145339" w14:textId="77777777" w:rsidTr="004E4BA7">
        <w:trPr>
          <w:jc w:val="center"/>
        </w:trPr>
        <w:tc>
          <w:tcPr>
            <w:tcW w:w="567" w:type="dxa"/>
          </w:tcPr>
          <w:p w14:paraId="18F1032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71139BDA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84EF77A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2878D1C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A7152" w:rsidRPr="003D2519" w14:paraId="514CD9EC" w14:textId="77777777" w:rsidTr="004E4BA7">
        <w:trPr>
          <w:jc w:val="center"/>
        </w:trPr>
        <w:tc>
          <w:tcPr>
            <w:tcW w:w="567" w:type="dxa"/>
          </w:tcPr>
          <w:p w14:paraId="2CC997B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CCCF694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6E1C7C1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55D1162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A7152" w:rsidRPr="003D2519" w14:paraId="1640C176" w14:textId="77777777" w:rsidTr="004E4BA7">
        <w:trPr>
          <w:jc w:val="center"/>
        </w:trPr>
        <w:tc>
          <w:tcPr>
            <w:tcW w:w="567" w:type="dxa"/>
          </w:tcPr>
          <w:p w14:paraId="0C510C34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1C4DD5B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710CE1D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A7152" w:rsidRPr="003D2519" w14:paraId="3FF5820D" w14:textId="77777777" w:rsidTr="004E4BA7">
        <w:trPr>
          <w:jc w:val="center"/>
        </w:trPr>
        <w:tc>
          <w:tcPr>
            <w:tcW w:w="567" w:type="dxa"/>
          </w:tcPr>
          <w:p w14:paraId="4D4A82F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3E8E1E6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6D325BB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A7152" w:rsidRPr="003D2519" w14:paraId="73191976" w14:textId="77777777" w:rsidTr="004E4BA7">
        <w:trPr>
          <w:jc w:val="center"/>
        </w:trPr>
        <w:tc>
          <w:tcPr>
            <w:tcW w:w="567" w:type="dxa"/>
          </w:tcPr>
          <w:p w14:paraId="488B0F4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19D504FC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1C2CFF4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54933F0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645A3110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5E9B2F75" w14:textId="77777777" w:rsidR="002B3A64" w:rsidRDefault="002B3A64" w:rsidP="002B3A64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278817C" w14:textId="77777777" w:rsidR="002B3A64" w:rsidRDefault="002B3A64" w:rsidP="002B3A64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24A25F77" w14:textId="77777777" w:rsidR="007E4662" w:rsidRDefault="007E4662" w:rsidP="007E4662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tbl>
      <w:tblPr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366"/>
        <w:gridCol w:w="1276"/>
        <w:gridCol w:w="1469"/>
        <w:gridCol w:w="1285"/>
        <w:gridCol w:w="1620"/>
        <w:gridCol w:w="1210"/>
      </w:tblGrid>
      <w:tr w:rsidR="0006681C" w:rsidRPr="002A4EBD" w14:paraId="45B53030" w14:textId="77777777" w:rsidTr="0006681C">
        <w:trPr>
          <w:trHeight w:val="9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C14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1D9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FB7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02C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помещений МКД всего, 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0905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0E9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780C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завершения работ</w:t>
            </w:r>
          </w:p>
        </w:tc>
      </w:tr>
      <w:tr w:rsidR="0006681C" w:rsidRPr="002A4EBD" w14:paraId="32610E4E" w14:textId="77777777" w:rsidTr="0006681C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462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Pr="002A4EB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05D" w14:textId="77777777" w:rsidR="0006681C" w:rsidRPr="002A4EBD" w:rsidRDefault="0006681C" w:rsidP="00317553">
            <w:pPr>
              <w:spacing w:before="0"/>
              <w:ind w:right="25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Ярославль, ул. Ньютона, д.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4AF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955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EB7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Плоская крыша.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E58" w14:textId="77777777" w:rsidR="0006681C" w:rsidRPr="002A4EBD" w:rsidRDefault="0006681C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1 474 284,92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3F7" w14:textId="77777777" w:rsidR="0006681C" w:rsidRPr="002A4EBD" w:rsidRDefault="0006681C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октября</w:t>
            </w:r>
            <w:r w:rsidRPr="002A4EBD">
              <w:rPr>
                <w:rFonts w:ascii="Times New Roman" w:eastAsia="Times New Roman" w:hAnsi="Times New Roman" w:cs="Times New Roman"/>
                <w:lang w:eastAsia="ru-RU"/>
              </w:rPr>
              <w:t xml:space="preserve"> 2016 г.</w:t>
            </w:r>
          </w:p>
        </w:tc>
      </w:tr>
      <w:tr w:rsidR="008C34DF" w:rsidRPr="002A4EBD" w14:paraId="2D5CE2AD" w14:textId="77777777" w:rsidTr="0006681C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4C5" w14:textId="77777777" w:rsidR="008C34DF" w:rsidRPr="002A4EBD" w:rsidRDefault="008C34DF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924" w14:textId="77777777" w:rsidR="008C34DF" w:rsidRPr="00675B87" w:rsidRDefault="008C34DF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B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02D" w14:textId="77777777" w:rsidR="008C34DF" w:rsidRPr="00675B87" w:rsidRDefault="008C34DF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2682" w14:textId="77777777" w:rsidR="008C34DF" w:rsidRPr="00675B87" w:rsidRDefault="008C34DF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30DA" w14:textId="77777777" w:rsidR="008C34DF" w:rsidRPr="00675B87" w:rsidRDefault="008C34DF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B895" w14:textId="52597658" w:rsidR="008C34DF" w:rsidRPr="0012665A" w:rsidRDefault="0056252D" w:rsidP="0031755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1 474 284,92</w:t>
            </w:r>
          </w:p>
          <w:p w14:paraId="2CA29DFA" w14:textId="77777777" w:rsidR="008C34DF" w:rsidRPr="00675B87" w:rsidRDefault="008C34DF" w:rsidP="0031755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221" w14:textId="77777777" w:rsidR="008C34DF" w:rsidRPr="00675B87" w:rsidRDefault="008C34DF" w:rsidP="0031755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5F4082" w14:textId="77777777" w:rsidR="003A1A21" w:rsidRDefault="003A1A21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1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</w:t>
            </w:r>
            <w:proofErr w:type="gramStart"/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</w:t>
            </w:r>
            <w:proofErr w:type="gramEnd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</w:t>
            </w:r>
            <w:r w:rsidR="00045F20" w:rsidRPr="00A32BE1">
              <w:rPr>
                <w:sz w:val="20"/>
                <w:szCs w:val="20"/>
              </w:rPr>
              <w:lastRenderedPageBreak/>
              <w:t xml:space="preserve">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Pr="000B790D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3528F792" w:rsidR="00B00563" w:rsidRPr="000B790D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0B79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</w:t>
            </w: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P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04C56B66" w14:textId="6E9C1F7C" w:rsidR="00991B44" w:rsidRPr="00EA2672" w:rsidRDefault="00177D2A" w:rsidP="008B463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91B44"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991B44"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  <w:bookmarkEnd w:id="4"/>
    </w:p>
    <w:p w14:paraId="24B5CA00" w14:textId="77777777" w:rsidR="00991B44" w:rsidRPr="00991B44" w:rsidRDefault="00991B44" w:rsidP="00991B44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991B44" w:rsidRPr="00991B44" w14:paraId="73F0A495" w14:textId="77777777" w:rsidTr="00897A28">
        <w:trPr>
          <w:jc w:val="center"/>
        </w:trPr>
        <w:tc>
          <w:tcPr>
            <w:tcW w:w="616" w:type="dxa"/>
            <w:vAlign w:val="center"/>
          </w:tcPr>
          <w:p w14:paraId="6D1320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11CC883E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6E9375E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A1E444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662D53B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4F1F424F" w14:textId="77777777" w:rsidTr="00897A28">
        <w:trPr>
          <w:jc w:val="center"/>
        </w:trPr>
        <w:tc>
          <w:tcPr>
            <w:tcW w:w="616" w:type="dxa"/>
            <w:vMerge w:val="restart"/>
            <w:vAlign w:val="center"/>
          </w:tcPr>
          <w:p w14:paraId="71E6EEE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4368CB3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2649FEF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  <w:p w14:paraId="7FC608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6B4EF1A8" w14:textId="77777777" w:rsidR="00991B44" w:rsidRPr="00991B44" w:rsidRDefault="00991B44" w:rsidP="00676109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4E999F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7679D05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3A3B35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0C7DBF4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991B44" w:rsidRPr="00991B44" w14:paraId="325791C6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7D3FA9C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E6183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DEF325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C6A3E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2E3A5A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991B44" w:rsidRPr="00991B44" w14:paraId="43120A26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64802E0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473696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A9ECB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8EF64A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2F60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991B44" w:rsidRPr="00991B44" w14:paraId="421D62D5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261C2DA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20FE49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6C234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6207D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2D2F5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991B44" w:rsidRPr="00991B44" w14:paraId="4F316BA1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7C656D3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A1C40D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08F001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A754D7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012A4F5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086012C1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35FAE8D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5C34D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08F9F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0E33D9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8BD7C8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19DD1725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68BC39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802AB8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397B3CC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7D8476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4F375C4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2869292E" w14:textId="77777777" w:rsidTr="00897A28">
        <w:trPr>
          <w:jc w:val="center"/>
        </w:trPr>
        <w:tc>
          <w:tcPr>
            <w:tcW w:w="616" w:type="dxa"/>
            <w:vMerge w:val="restart"/>
            <w:vAlign w:val="center"/>
          </w:tcPr>
          <w:p w14:paraId="7779784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0A0785C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5DA3B1E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BECD4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77AF1C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13DF31C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484DEE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30407773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655D7F9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F467F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145841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2E8340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120BEB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991B44" w:rsidRPr="00991B44" w14:paraId="0587A572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343346E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2E32DFE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0C3B9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1FA2845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38BB53B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6C75F2D4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3FE2B39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710BC5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817161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8B6AC1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2F502B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1BA17453" w14:textId="77777777" w:rsidTr="00897A28">
        <w:trPr>
          <w:jc w:val="center"/>
        </w:trPr>
        <w:tc>
          <w:tcPr>
            <w:tcW w:w="616" w:type="dxa"/>
            <w:vMerge/>
            <w:vAlign w:val="center"/>
          </w:tcPr>
          <w:p w14:paraId="03F1B2B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A62E2E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EA8E8B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0F4213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10AB6DD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70052DF9" w14:textId="77777777" w:rsidTr="00897A28">
        <w:trPr>
          <w:cantSplit/>
          <w:trHeight w:val="1060"/>
          <w:jc w:val="center"/>
        </w:trPr>
        <w:tc>
          <w:tcPr>
            <w:tcW w:w="616" w:type="dxa"/>
            <w:textDirection w:val="btLr"/>
            <w:vAlign w:val="center"/>
          </w:tcPr>
          <w:p w14:paraId="1BF855DE" w14:textId="77777777" w:rsidR="00991B44" w:rsidRPr="00991B44" w:rsidRDefault="00991B44" w:rsidP="00991B44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2102E49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7083E8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52F0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2D868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32429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59" w:type="dxa"/>
            <w:vAlign w:val="center"/>
          </w:tcPr>
          <w:p w14:paraId="7D50745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28B140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C8B364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3ADA89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382A8E0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397EAE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61B6E8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56BAC8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C7549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897A28" w:rsidRPr="00991B44" w14:paraId="5313D4E4" w14:textId="77777777" w:rsidTr="00897A28">
        <w:trPr>
          <w:jc w:val="center"/>
        </w:trPr>
        <w:tc>
          <w:tcPr>
            <w:tcW w:w="616" w:type="dxa"/>
            <w:vMerge w:val="restart"/>
            <w:vAlign w:val="center"/>
          </w:tcPr>
          <w:p w14:paraId="11C192BC" w14:textId="53BCBC71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4A26F1B7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897A28" w:rsidRPr="00991B44" w14:paraId="062BB5BB" w14:textId="77777777" w:rsidTr="00897A28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6F714639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679FE593" w14:textId="55F449B7" w:rsidR="00897A28" w:rsidRPr="00991B44" w:rsidRDefault="00897A28" w:rsidP="00676109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C3735C1" w14:textId="17BCD36A" w:rsidR="00897A28" w:rsidRPr="00991B44" w:rsidRDefault="00897A28" w:rsidP="00676109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6D1628E4" w14:textId="5CA37A8A" w:rsidR="00897A28" w:rsidRPr="00897A28" w:rsidRDefault="00897A28" w:rsidP="00897A28">
            <w:pPr>
              <w:spacing w:line="312" w:lineRule="auto"/>
              <w:jc w:val="center"/>
              <w:rPr>
                <w:bCs/>
              </w:rPr>
            </w:pPr>
            <w:proofErr w:type="gramStart"/>
            <w:r w:rsidRPr="00897A28">
              <w:rPr>
                <w:bCs/>
              </w:rPr>
              <w:t>Количество  баллов</w:t>
            </w:r>
            <w:proofErr w:type="gramEnd"/>
            <w:r w:rsidRPr="00897A28">
              <w:rPr>
                <w:bCs/>
              </w:rPr>
              <w:t xml:space="preserve"> </w:t>
            </w:r>
          </w:p>
        </w:tc>
      </w:tr>
      <w:tr w:rsidR="00897A28" w:rsidRPr="00991B44" w14:paraId="1EC30E80" w14:textId="77777777" w:rsidTr="00897A28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3ADB1FBF" w14:textId="3961AF60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035DB1F7" w14:textId="77777777" w:rsidR="00897A28" w:rsidRPr="00991B44" w:rsidRDefault="00897A28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</w:t>
            </w:r>
            <w:proofErr w:type="gramStart"/>
            <w:r w:rsidRPr="00991B44">
              <w:rPr>
                <w:bCs/>
              </w:rPr>
              <w:t>работ  объектов</w:t>
            </w:r>
            <w:proofErr w:type="gramEnd"/>
            <w:r w:rsidRPr="00991B44">
              <w:rPr>
                <w:bCs/>
              </w:rPr>
              <w:t xml:space="preserve"> строительства, реконструкции и капитального ремонта к моменту подачи оферты на участие в открытом конкурсе </w:t>
            </w:r>
          </w:p>
          <w:p w14:paraId="3C810076" w14:textId="26591160" w:rsidR="00897A28" w:rsidRPr="00991B44" w:rsidRDefault="00897A28" w:rsidP="00676109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3BFB7D65" w14:textId="77777777" w:rsidR="00897A28" w:rsidRPr="00991B44" w:rsidRDefault="00897A28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A064CF4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897A28" w:rsidRPr="00991B44" w14:paraId="76033FDD" w14:textId="77777777" w:rsidTr="00897A28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3C100085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CF0B4C0" w14:textId="77777777" w:rsidR="00897A28" w:rsidRPr="00991B44" w:rsidRDefault="00897A28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952F9B3" w14:textId="77777777" w:rsidR="00897A28" w:rsidRPr="00991B44" w:rsidRDefault="00897A28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49" w:type="dxa"/>
            <w:gridSpan w:val="2"/>
            <w:vAlign w:val="center"/>
          </w:tcPr>
          <w:p w14:paraId="0F421A9A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897A28" w:rsidRPr="00991B44" w14:paraId="308C51D6" w14:textId="77777777" w:rsidTr="00897A28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75B5EAC8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EFCF144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8C0AC39" w14:textId="77777777" w:rsidR="00897A28" w:rsidRPr="00991B44" w:rsidRDefault="00897A28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49" w:type="dxa"/>
            <w:gridSpan w:val="2"/>
            <w:vAlign w:val="center"/>
          </w:tcPr>
          <w:p w14:paraId="029BDD7A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897A28" w:rsidRPr="00991B44" w14:paraId="086A6667" w14:textId="77777777" w:rsidTr="00897A28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122C4149" w14:textId="49F3E23B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46D13D06" w14:textId="77777777" w:rsidR="00897A28" w:rsidRPr="00991B44" w:rsidRDefault="00897A28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641EEF29" w14:textId="77777777" w:rsidR="00897A28" w:rsidRPr="00991B44" w:rsidRDefault="00897A28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0A6B1DD6" w14:textId="77777777" w:rsidR="00897A28" w:rsidRDefault="00897A28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CCD2A34" w14:textId="4D814008" w:rsidR="00897A28" w:rsidRPr="00991B44" w:rsidRDefault="00897A28" w:rsidP="00991B44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4A646153" w14:textId="77777777" w:rsidR="00897A28" w:rsidRPr="00991B44" w:rsidRDefault="00897A28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7F68B0B" w14:textId="661168C7" w:rsidR="00897A28" w:rsidRPr="00991B44" w:rsidRDefault="00897A28" w:rsidP="006761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840C8F7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897A28" w:rsidRPr="00991B44" w14:paraId="056685FC" w14:textId="77777777" w:rsidTr="00897A28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74E73982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59623FD" w14:textId="77777777" w:rsidR="00897A28" w:rsidRPr="00991B44" w:rsidRDefault="00897A28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EF932D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0EDFF43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897A28" w:rsidRPr="00991B44" w14:paraId="316CB417" w14:textId="77777777" w:rsidTr="00897A28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492EC374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20D07BE" w14:textId="77777777" w:rsidR="00897A28" w:rsidRPr="00991B44" w:rsidRDefault="00897A28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8EECC4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2C1EB75A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897A28" w:rsidRPr="00991B44" w14:paraId="7F04D1EB" w14:textId="77777777" w:rsidTr="00897A28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32459945" w14:textId="1F821E62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3315A769" w14:textId="2A1DE321" w:rsidR="00897A28" w:rsidRPr="00991B44" w:rsidRDefault="00897A28" w:rsidP="00676109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</w:t>
            </w:r>
            <w:proofErr w:type="gramStart"/>
            <w:r>
              <w:rPr>
                <w:bCs/>
              </w:rPr>
              <w:t xml:space="preserve">аналогов </w:t>
            </w:r>
            <w:r w:rsidRPr="00991B44">
              <w:rPr>
                <w:bCs/>
              </w:rPr>
              <w:t xml:space="preserve"> по</w:t>
            </w:r>
            <w:proofErr w:type="gramEnd"/>
            <w:r w:rsidRPr="00991B44">
              <w:rPr>
                <w:bCs/>
              </w:rPr>
              <w:t xml:space="preserve">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60C43B96" w14:textId="77777777" w:rsidR="00897A28" w:rsidRPr="00991B44" w:rsidRDefault="00897A28" w:rsidP="00676109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632EDE87" w14:textId="3DC14B16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181BD69C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897A28" w:rsidRPr="00991B44" w14:paraId="135A5B90" w14:textId="77777777" w:rsidTr="00897A28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6F62DDD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D4A5D1C" w14:textId="77777777" w:rsidR="00897A28" w:rsidRPr="00991B44" w:rsidRDefault="00897A28" w:rsidP="00676109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8E2F5AF" w14:textId="2914627B" w:rsidR="00897A28" w:rsidRPr="00991B44" w:rsidRDefault="00897A28" w:rsidP="00733AB9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5-</w:t>
            </w:r>
            <w:r>
              <w:rPr>
                <w:bCs/>
              </w:rPr>
              <w:t>10 включительно</w:t>
            </w:r>
          </w:p>
        </w:tc>
        <w:tc>
          <w:tcPr>
            <w:tcW w:w="3349" w:type="dxa"/>
            <w:gridSpan w:val="2"/>
            <w:vAlign w:val="center"/>
          </w:tcPr>
          <w:p w14:paraId="05F7ED6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897A28" w:rsidRPr="00991B44" w14:paraId="677A161F" w14:textId="77777777" w:rsidTr="00897A28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0C775512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073807" w14:textId="77777777" w:rsidR="00897A28" w:rsidRPr="00991B44" w:rsidRDefault="00897A28" w:rsidP="00676109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4FD4FFE" w14:textId="3B6A4F7A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4F288E3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897A28" w:rsidRPr="00991B44" w14:paraId="294AA28C" w14:textId="77777777" w:rsidTr="00897A28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51AFA32A" w14:textId="48B18721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5A135E6B" w14:textId="77777777" w:rsidR="00897A28" w:rsidRPr="00991B44" w:rsidRDefault="00897A28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41A18BF" w14:textId="69A61EC5" w:rsidR="00897A28" w:rsidRPr="00991B44" w:rsidRDefault="00897A28" w:rsidP="0067610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6834241C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335A4660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897A28" w:rsidRPr="00991B44" w14:paraId="18B1E7A0" w14:textId="77777777" w:rsidTr="00897A28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2F4AAE40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F0B9B79" w14:textId="77777777" w:rsidR="00897A28" w:rsidRPr="00991B44" w:rsidRDefault="00897A28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5B586312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68DD9BE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897A28" w:rsidRPr="00991B44" w14:paraId="176368FD" w14:textId="77777777" w:rsidTr="00897A28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5B7557A7" w14:textId="3F1F553B" w:rsidR="00897A28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7C0F9347" w14:textId="524C7D72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0CD28F6F" w14:textId="77777777" w:rsidR="00897A28" w:rsidRDefault="00897A28" w:rsidP="00676109">
            <w:pPr>
              <w:rPr>
                <w:i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 xml:space="preserve">Форма 5) </w:t>
            </w:r>
          </w:p>
          <w:p w14:paraId="0EED38FC" w14:textId="77777777" w:rsidR="00897A28" w:rsidRDefault="00897A28" w:rsidP="00676109">
            <w:pPr>
              <w:rPr>
                <w:i/>
              </w:rPr>
            </w:pPr>
            <w:r w:rsidRPr="00897A28">
              <w:rPr>
                <w:i/>
                <w:highlight w:val="yellow"/>
              </w:rPr>
              <w:t xml:space="preserve">Копии </w:t>
            </w:r>
            <w:proofErr w:type="spellStart"/>
            <w:r w:rsidRPr="00897A28">
              <w:rPr>
                <w:i/>
                <w:highlight w:val="yellow"/>
              </w:rPr>
              <w:t>св-ва</w:t>
            </w:r>
            <w:proofErr w:type="spellEnd"/>
            <w:r w:rsidRPr="00897A28">
              <w:rPr>
                <w:i/>
                <w:highlight w:val="yellow"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</w:t>
            </w:r>
            <w:r>
              <w:rPr>
                <w:i/>
              </w:rPr>
              <w:t>.</w:t>
            </w:r>
          </w:p>
          <w:p w14:paraId="7C9206CC" w14:textId="5C71F3E6" w:rsidR="00897A28" w:rsidRPr="00991B44" w:rsidRDefault="00897A28" w:rsidP="00897A28">
            <w:pPr>
              <w:rPr>
                <w:bCs/>
              </w:rPr>
            </w:pPr>
            <w:r>
              <w:rPr>
                <w:i/>
              </w:rPr>
              <w:t xml:space="preserve">В случае аренды </w:t>
            </w:r>
            <w:proofErr w:type="gramStart"/>
            <w:r>
              <w:rPr>
                <w:i/>
              </w:rPr>
              <w:t>( не</w:t>
            </w:r>
            <w:proofErr w:type="gramEnd"/>
            <w:r>
              <w:rPr>
                <w:i/>
              </w:rPr>
              <w:t xml:space="preserve"> предоставление копий </w:t>
            </w:r>
            <w:proofErr w:type="spellStart"/>
            <w:r>
              <w:rPr>
                <w:i/>
              </w:rPr>
              <w:t>св</w:t>
            </w:r>
            <w:proofErr w:type="spellEnd"/>
            <w:r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091BB1A1" w14:textId="1237AEAD" w:rsidR="00897A28" w:rsidRPr="00991B44" w:rsidRDefault="00897A28" w:rsidP="00317553">
            <w:pPr>
              <w:jc w:val="center"/>
              <w:rPr>
                <w:bCs/>
              </w:rPr>
            </w:pPr>
            <w:proofErr w:type="gramStart"/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r w:rsidRPr="00991B44">
              <w:rPr>
                <w:bCs/>
              </w:rPr>
              <w:t>Наличие</w:t>
            </w:r>
            <w:r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>. Базы</w:t>
            </w:r>
            <w:r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067A2829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897A28" w:rsidRPr="00991B44" w14:paraId="24A3FF32" w14:textId="77777777" w:rsidTr="00897A28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5BBF7F4F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C83EBE3" w14:textId="77777777" w:rsidR="00897A28" w:rsidRPr="00991B44" w:rsidRDefault="00897A28" w:rsidP="00991B44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4BFD5CC6" w14:textId="72001DF0" w:rsidR="00897A28" w:rsidRPr="00991B44" w:rsidRDefault="00897A28" w:rsidP="00317553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>:</w:t>
            </w:r>
            <w:r>
              <w:rPr>
                <w:bCs/>
              </w:rPr>
              <w:t xml:space="preserve"> Наличие автотранспорта</w:t>
            </w:r>
            <w:r w:rsidRPr="00991B44">
              <w:rPr>
                <w:bCs/>
              </w:rPr>
              <w:t>, ГП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1DCF4B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897A28" w:rsidRPr="00991B44" w14:paraId="0658FA96" w14:textId="77777777" w:rsidTr="00897A28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4281F349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E5F145C" w14:textId="77777777" w:rsidR="00897A28" w:rsidRPr="00991B44" w:rsidRDefault="00897A28" w:rsidP="00991B44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709CC2EB" w14:textId="7877D5E8" w:rsidR="00897A28" w:rsidRPr="00991B44" w:rsidRDefault="00897A28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48EEA5BC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897A28" w:rsidRPr="00991B44" w14:paraId="7A3921C4" w14:textId="77777777" w:rsidTr="00897A28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1E920571" w14:textId="55AF7721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2E77553" w14:textId="77777777" w:rsidR="00897A28" w:rsidRPr="00991B44" w:rsidRDefault="00897A28" w:rsidP="003315FF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48CD09C" w14:textId="585EABB4" w:rsidR="00897A28" w:rsidRPr="00991B44" w:rsidRDefault="00897A28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092BDA40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72607A1A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897A28" w:rsidRPr="00991B44" w14:paraId="6595A277" w14:textId="77777777" w:rsidTr="00897A28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7CD152D0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562E416" w14:textId="77777777" w:rsidR="00897A28" w:rsidRPr="00991B44" w:rsidRDefault="00897A28" w:rsidP="00991B44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DD4D079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284E797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897A28" w:rsidRPr="00991B44" w14:paraId="53348953" w14:textId="77777777" w:rsidTr="00897A28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388694D6" w14:textId="7982ED63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E0894E9" w14:textId="14136990" w:rsidR="00897A28" w:rsidRPr="00991B44" w:rsidRDefault="00897A28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</w:t>
            </w:r>
            <w:proofErr w:type="gramStart"/>
            <w:r w:rsidRPr="00991B44">
              <w:rPr>
                <w:bCs/>
              </w:rPr>
              <w:t>домов.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A4566D7" w14:textId="09A151FA" w:rsidR="00897A28" w:rsidRPr="00991B44" w:rsidRDefault="00897A28" w:rsidP="00317553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638728C9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897A28" w:rsidRPr="00991B44" w14:paraId="5A44591A" w14:textId="77777777" w:rsidTr="00897A28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21851AFB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68E342" w14:textId="77777777" w:rsidR="00897A28" w:rsidRPr="00991B44" w:rsidRDefault="00897A28" w:rsidP="003315FF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4E306CF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4489170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897A28" w:rsidRPr="00991B44" w14:paraId="62592BFF" w14:textId="77777777" w:rsidTr="00897A28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0B1B2F30" w14:textId="7C2EBA8E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2CEDF7C4" w14:textId="3A7C7CF3" w:rsidR="00897A28" w:rsidRPr="00991B44" w:rsidRDefault="00897A28" w:rsidP="003315FF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4046DDF0" w14:textId="3E61285F" w:rsidR="00897A28" w:rsidRPr="00991B44" w:rsidRDefault="00897A28" w:rsidP="003315FF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79BD21D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67C742C3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897A28" w:rsidRPr="00991B44" w14:paraId="5259B8FB" w14:textId="77777777" w:rsidTr="00897A28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11F9CAD4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6E6DDCA" w14:textId="77777777" w:rsidR="00897A28" w:rsidRPr="00991B44" w:rsidRDefault="00897A28" w:rsidP="003315FF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51D75FC1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E8152FE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897A28" w:rsidRPr="00991B44" w14:paraId="2559FCC6" w14:textId="77777777" w:rsidTr="00897A28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571A65CD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2AC0438A" w14:textId="77777777" w:rsidR="00897A28" w:rsidRPr="00991B44" w:rsidRDefault="00897A28" w:rsidP="003315FF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2CEBC559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6BFEB45B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897A28" w:rsidRPr="00991B44" w14:paraId="1A605B13" w14:textId="77777777" w:rsidTr="00897A28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0842F932" w14:textId="4F26FB18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0C5EAEA9" w14:textId="06700F96" w:rsidR="00897A28" w:rsidRPr="00991B44" w:rsidRDefault="00897A28" w:rsidP="003315FF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 xml:space="preserve">, свидетельствующей об имеющихся денежных средствах в размере не менее 30% стоимости работ по </w:t>
            </w:r>
            <w:proofErr w:type="gramStart"/>
            <w:r w:rsidRPr="00991B44">
              <w:rPr>
                <w:bCs/>
              </w:rPr>
              <w:t>договору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54D254D6" w14:textId="77777777" w:rsidR="00897A28" w:rsidRDefault="00897A28" w:rsidP="003315FF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275F456A" w14:textId="240D786D" w:rsidR="00897A28" w:rsidRPr="00BB7628" w:rsidRDefault="00897A28" w:rsidP="003315FF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59" w:type="dxa"/>
            <w:vAlign w:val="center"/>
          </w:tcPr>
          <w:p w14:paraId="0CF6B9F2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7048227F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897A28" w:rsidRPr="00991B44" w14:paraId="1034697F" w14:textId="77777777" w:rsidTr="00897A28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7D92A1D2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D56DEC9" w14:textId="77777777" w:rsidR="00897A28" w:rsidRPr="00991B44" w:rsidRDefault="00897A28" w:rsidP="003315FF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8ADBBA2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C03FE03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897A28" w:rsidRPr="00991B44" w14:paraId="047015F8" w14:textId="77777777" w:rsidTr="00897A28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45BFEDA6" w14:textId="058D66B1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0A0DE4B8" w14:textId="77777777" w:rsidR="00897A28" w:rsidRDefault="00897A28" w:rsidP="003315FF">
            <w:pPr>
              <w:rPr>
                <w:bCs/>
              </w:rPr>
            </w:pPr>
          </w:p>
          <w:p w14:paraId="520C202A" w14:textId="77777777" w:rsidR="00897A28" w:rsidRDefault="00897A28" w:rsidP="003315FF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363ACEE0" w14:textId="77777777" w:rsidR="00897A28" w:rsidRDefault="00897A28" w:rsidP="003315FF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5C4ECA1E" w14:textId="091F40D8" w:rsidR="00897A28" w:rsidRPr="00991B44" w:rsidRDefault="00897A28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5ACCA06" w14:textId="77777777" w:rsidR="00897A28" w:rsidRPr="00991B44" w:rsidRDefault="00897A28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60CF1BF3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897A28" w:rsidRPr="00991B44" w14:paraId="22B99E3A" w14:textId="77777777" w:rsidTr="00897A28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5B0772A8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7C66D46" w14:textId="77777777" w:rsidR="00897A28" w:rsidRPr="00991B44" w:rsidRDefault="00897A28" w:rsidP="003315FF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25AF2E5" w14:textId="77777777" w:rsidR="00897A28" w:rsidRPr="00991B44" w:rsidRDefault="00897A28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624F437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897A28" w:rsidRPr="00991B44" w14:paraId="2E2FD260" w14:textId="77777777" w:rsidTr="00897A28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5F7CC0B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E5BABF2" w14:textId="77777777" w:rsidR="00897A28" w:rsidRPr="00991B44" w:rsidRDefault="00897A28" w:rsidP="003315FF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DE0369C" w14:textId="77777777" w:rsidR="00897A28" w:rsidRPr="00991B44" w:rsidRDefault="00897A28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0D9BD465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897A28" w:rsidRPr="00991B44" w14:paraId="7CD5BE6E" w14:textId="77777777" w:rsidTr="00897A28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7BA682BD" w14:textId="77777777" w:rsidR="00897A28" w:rsidRPr="00991B44" w:rsidRDefault="00897A28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DF29302" w14:textId="77777777" w:rsidR="00897A28" w:rsidRPr="00991B44" w:rsidRDefault="00897A28" w:rsidP="003315FF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DFE816E" w14:textId="77777777" w:rsidR="00897A28" w:rsidRPr="00991B44" w:rsidRDefault="00897A28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7B81A4C" w14:textId="77777777" w:rsidR="00897A28" w:rsidRPr="00991B44" w:rsidRDefault="00897A28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6E33B95D" w14:textId="77777777" w:rsidTr="00897A28">
        <w:trPr>
          <w:jc w:val="center"/>
        </w:trPr>
        <w:tc>
          <w:tcPr>
            <w:tcW w:w="616" w:type="dxa"/>
          </w:tcPr>
          <w:p w14:paraId="2EF78696" w14:textId="0A960C4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68F2EF4C" w14:textId="77777777" w:rsidR="00991B44" w:rsidRPr="00991B44" w:rsidRDefault="00991B44" w:rsidP="003315FF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4AD3296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21E8126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5F161BC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AB52CC" w:rsidRPr="00991B44" w14:paraId="5CE4FA0C" w14:textId="77777777" w:rsidTr="00897A28">
        <w:trPr>
          <w:jc w:val="center"/>
        </w:trPr>
        <w:tc>
          <w:tcPr>
            <w:tcW w:w="616" w:type="dxa"/>
            <w:vMerge w:val="restart"/>
          </w:tcPr>
          <w:p w14:paraId="515B2776" w14:textId="1CA95664" w:rsidR="00AB52CC" w:rsidRPr="00897A28" w:rsidRDefault="00AB52CC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3105AB51" w14:textId="5E6E0848" w:rsidR="00AB52CC" w:rsidRPr="00991B44" w:rsidRDefault="00AB52CC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Подтверждение гарантийного срока оказания услуг и (или) </w:t>
            </w:r>
            <w:proofErr w:type="gramStart"/>
            <w:r w:rsidRPr="00991B44">
              <w:rPr>
                <w:bCs/>
              </w:rPr>
              <w:t>выполнения  работ</w:t>
            </w:r>
            <w:proofErr w:type="gramEnd"/>
            <w:r w:rsidRPr="00991B44">
              <w:rPr>
                <w:bCs/>
              </w:rPr>
              <w:t xml:space="preserve">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418A06E9" w14:textId="77777777" w:rsidR="00AB52CC" w:rsidRPr="00991B44" w:rsidRDefault="00AB52CC" w:rsidP="003315FF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33D1A98B" w14:textId="77777777" w:rsidR="00AB52CC" w:rsidRDefault="00AB52CC" w:rsidP="00991B44">
            <w:pPr>
              <w:spacing w:line="312" w:lineRule="auto"/>
              <w:jc w:val="center"/>
              <w:rPr>
                <w:b/>
                <w:bCs/>
              </w:rPr>
            </w:pPr>
          </w:p>
          <w:p w14:paraId="6737F33B" w14:textId="77777777" w:rsidR="00AB52CC" w:rsidRPr="00991B44" w:rsidRDefault="00AB52CC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687B0F6C" w14:textId="5B40AFEE" w:rsidR="00AB52CC" w:rsidRPr="00991B44" w:rsidRDefault="00AB52CC" w:rsidP="00AB52CC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gramStart"/>
            <w:r>
              <w:rPr>
                <w:bCs/>
              </w:rPr>
              <w:t>лет  (</w:t>
            </w:r>
            <w:proofErr w:type="gramEnd"/>
            <w:r>
              <w:rPr>
                <w:bCs/>
              </w:rPr>
              <w:t>включительно) и более</w:t>
            </w:r>
          </w:p>
        </w:tc>
        <w:tc>
          <w:tcPr>
            <w:tcW w:w="1577" w:type="dxa"/>
          </w:tcPr>
          <w:p w14:paraId="0298C971" w14:textId="77777777" w:rsidR="00AB52CC" w:rsidRDefault="00AB52CC" w:rsidP="00991B44">
            <w:pPr>
              <w:spacing w:line="312" w:lineRule="auto"/>
              <w:jc w:val="center"/>
              <w:rPr>
                <w:bCs/>
              </w:rPr>
            </w:pPr>
          </w:p>
          <w:p w14:paraId="540B9F24" w14:textId="77777777" w:rsidR="00AB52CC" w:rsidRPr="00991B44" w:rsidRDefault="00AB52CC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AB52CC" w:rsidRPr="00991B44" w14:paraId="7CF3AB9D" w14:textId="77777777" w:rsidTr="00897A28">
        <w:trPr>
          <w:jc w:val="center"/>
        </w:trPr>
        <w:tc>
          <w:tcPr>
            <w:tcW w:w="616" w:type="dxa"/>
            <w:vMerge/>
          </w:tcPr>
          <w:p w14:paraId="7C175AFB" w14:textId="77777777" w:rsidR="00AB52CC" w:rsidRPr="00897A28" w:rsidRDefault="00AB52CC" w:rsidP="00991B44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270A4220" w14:textId="77777777" w:rsidR="00AB52CC" w:rsidRPr="00991B44" w:rsidRDefault="00AB52CC" w:rsidP="003315FF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4F9791AD" w14:textId="77777777" w:rsidR="00AB52CC" w:rsidRDefault="00AB52CC" w:rsidP="00991B44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4BC81B4" w14:textId="496D24DF" w:rsidR="00AB52CC" w:rsidRDefault="00AB52CC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4EC8806D" w14:textId="70172C54" w:rsidR="00AB52CC" w:rsidRDefault="00AB52CC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17BFF5D6" w14:textId="0C9D9B53" w:rsidR="00E976F5" w:rsidRPr="00E976F5" w:rsidRDefault="001F5C76" w:rsidP="00E976F5">
      <w:pPr>
        <w:pStyle w:val="1"/>
        <w:tabs>
          <w:tab w:val="clear" w:pos="3479"/>
        </w:tabs>
        <w:ind w:left="0" w:firstLine="0"/>
        <w:jc w:val="center"/>
      </w:pPr>
      <w:bookmarkStart w:id="5" w:name="_Toc456254878"/>
      <w:r w:rsidRPr="00695EA6">
        <w:rPr>
          <w:rFonts w:ascii="Times New Roman" w:hAnsi="Times New Roman" w:cs="Times New Roman"/>
        </w:rPr>
        <w:t>Об</w:t>
      </w:r>
      <w:r w:rsidR="007D14BE" w:rsidRPr="00695EA6">
        <w:rPr>
          <w:rFonts w:ascii="Times New Roman" w:hAnsi="Times New Roman" w:cs="Times New Roman"/>
        </w:rPr>
        <w:t>разцы форм</w:t>
      </w:r>
      <w:r w:rsidR="00863B55" w:rsidRPr="00695EA6">
        <w:rPr>
          <w:rFonts w:ascii="Times New Roman" w:hAnsi="Times New Roman" w:cs="Times New Roman"/>
        </w:rPr>
        <w:t xml:space="preserve"> для заполнения</w:t>
      </w:r>
      <w:bookmarkEnd w:id="5"/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  <w:bookmarkStart w:id="6" w:name="_GoBack"/>
      <w:bookmarkEnd w:id="6"/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114375E0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конкурса.</w:t>
      </w:r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472389FE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контрагента______</w:t>
            </w:r>
            <w:r w:rsidR="005467A4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3971B64E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</w:t>
            </w:r>
            <w:r w:rsidR="005467A4">
              <w:rPr>
                <w:rFonts w:ascii="Arial" w:hAnsi="Arial" w:cs="Arial"/>
                <w:b/>
                <w:sz w:val="48"/>
                <w:szCs w:val="48"/>
              </w:rPr>
              <w:t>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proofErr w:type="gramStart"/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</w:t>
      </w:r>
      <w:proofErr w:type="gramEnd"/>
      <w:r w:rsidR="0058680A">
        <w:rPr>
          <w:rFonts w:ascii="Times New Roman" w:hAnsi="Times New Roman"/>
          <w:sz w:val="18"/>
          <w:szCs w:val="18"/>
        </w:rPr>
        <w:t>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- претендент не находится в процессе ликвидации или в процедуре 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>банкротства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указанием кода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38417E5B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Сведения о материально-технических ресурсах</w:t>
      </w: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9FFC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1D50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357E04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57E04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357E0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357E0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57E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86EB795" w14:textId="77777777" w:rsidR="00DA52D4" w:rsidRPr="00357E0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0299FE" w14:textId="77777777" w:rsidR="007D14BE" w:rsidRPr="00357E0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57E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357E0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7951C4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7951C4" w:rsidRDefault="007D14BE" w:rsidP="00941079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7951C4" w:rsidRDefault="007D14BE" w:rsidP="00DA52D4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Значение</w:t>
            </w:r>
            <w:r w:rsidR="00DA52D4">
              <w:rPr>
                <w:rFonts w:ascii="Times New Roman" w:hAnsi="Times New Roman" w:cs="Times New Roman"/>
              </w:rPr>
              <w:t xml:space="preserve"> </w:t>
            </w:r>
            <w:r w:rsidRPr="007951C4">
              <w:rPr>
                <w:rFonts w:ascii="Times New Roman" w:hAnsi="Times New Roman" w:cs="Times New Roman"/>
              </w:rPr>
              <w:t xml:space="preserve">(все значения указываются цифрами) </w:t>
            </w:r>
          </w:p>
        </w:tc>
      </w:tr>
      <w:tr w:rsidR="007D14BE" w:rsidRPr="007951C4" w14:paraId="1A539D6A" w14:textId="77777777" w:rsidTr="00941079">
        <w:tc>
          <w:tcPr>
            <w:tcW w:w="1242" w:type="dxa"/>
            <w:vAlign w:val="center"/>
          </w:tcPr>
          <w:p w14:paraId="047ACA70" w14:textId="20465EB4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7777777" w:rsidR="007D14BE" w:rsidRPr="007951C4" w:rsidRDefault="007D14BE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Срок оказания услуг и (или) выполнения работ </w:t>
            </w:r>
          </w:p>
        </w:tc>
        <w:tc>
          <w:tcPr>
            <w:tcW w:w="2693" w:type="dxa"/>
            <w:vAlign w:val="center"/>
          </w:tcPr>
          <w:p w14:paraId="36E6E0FE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Календарные дни</w:t>
            </w:r>
          </w:p>
          <w:p w14:paraId="52523249" w14:textId="7825C582" w:rsidR="007D14BE" w:rsidRPr="00CF6377" w:rsidRDefault="007D14BE" w:rsidP="009E02D6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 xml:space="preserve">с даты </w:t>
            </w:r>
            <w:r w:rsidR="009E02D6">
              <w:rPr>
                <w:rFonts w:ascii="Times New Roman" w:hAnsi="Times New Roman" w:cs="Times New Roman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7951C4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7951C4" w:rsidRDefault="007D14BE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7951C4">
              <w:rPr>
                <w:rFonts w:ascii="Times New Roman" w:hAnsi="Times New Roman" w:cs="Times New Roman"/>
                <w:i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0C205D" w:rsidRDefault="000C205D" w:rsidP="000C205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FCBDE78" w14:textId="77777777" w:rsidR="000C205D" w:rsidRPr="000C205D" w:rsidRDefault="000C205D" w:rsidP="000C205D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  <w:i/>
                <w:u w:val="single"/>
              </w:rPr>
              <w:t>(Техническое предложение – Форма 7т)</w:t>
            </w:r>
            <w:r w:rsidRPr="000C205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44BDBA" w14:textId="36DB4122" w:rsidR="00DA52D4" w:rsidRPr="007951C4" w:rsidRDefault="000C205D" w:rsidP="00EA7152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>подтверждается копией Устава,</w:t>
            </w:r>
            <w:r w:rsidR="00EA7152">
              <w:rPr>
                <w:rFonts w:ascii="Times New Roman" w:hAnsi="Times New Roman" w:cs="Times New Roman"/>
                <w:bCs/>
              </w:rPr>
              <w:t xml:space="preserve"> изменениями в уставных документах,</w:t>
            </w:r>
            <w:r w:rsidRPr="000C205D">
              <w:rPr>
                <w:rFonts w:ascii="Times New Roman" w:hAnsi="Times New Roman" w:cs="Times New Roman"/>
                <w:bCs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2DAC6BA6" w:rsidR="00DA52D4" w:rsidRPr="002C26F1" w:rsidRDefault="007D14BE" w:rsidP="009B00D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2C26F1">
              <w:rPr>
                <w:rFonts w:ascii="Times New Roman" w:hAnsi="Times New Roman" w:cs="Times New Roman"/>
                <w:bCs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6BDE4EDE" w:rsidR="007D14BE" w:rsidRPr="000C19FD" w:rsidRDefault="000C19FD" w:rsidP="00BB2DE1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bCs/>
              </w:rPr>
              <w:t xml:space="preserve">Количество выполненных объектов-аналогов </w:t>
            </w:r>
            <w:r w:rsidR="00BB2DE1" w:rsidRPr="00BB2DE1">
              <w:rPr>
                <w:rFonts w:ascii="Times New Roman" w:hAnsi="Times New Roman" w:cs="Times New Roman"/>
                <w:bCs/>
                <w:i/>
                <w:u w:val="single"/>
              </w:rPr>
              <w:t>не позднее</w:t>
            </w:r>
            <w:r w:rsidRPr="00BB2DE1">
              <w:rPr>
                <w:rFonts w:ascii="Times New Roman" w:hAnsi="Times New Roman" w:cs="Times New Roman"/>
                <w:bCs/>
                <w:i/>
                <w:u w:val="single"/>
              </w:rPr>
              <w:t xml:space="preserve"> 01 января 2013 года</w:t>
            </w:r>
            <w:r w:rsidRPr="000C19FD">
              <w:rPr>
                <w:rFonts w:ascii="Times New Roman" w:hAnsi="Times New Roman" w:cs="Times New Roman"/>
                <w:bCs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7951C4" w:rsidRDefault="007D14BE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7951C4">
              <w:rPr>
                <w:rFonts w:ascii="Times New Roman" w:hAnsi="Times New Roman" w:cs="Times New Roman"/>
                <w:bCs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F6377" w:rsidRDefault="00DA52D4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</w:t>
            </w:r>
            <w:r w:rsidR="007D14BE" w:rsidRPr="00CF6377">
              <w:rPr>
                <w:rFonts w:ascii="Times New Roman" w:hAnsi="Times New Roman" w:cs="Times New Roman"/>
              </w:rPr>
              <w:t>казывается</w:t>
            </w:r>
            <w:r w:rsidRPr="00CF6377">
              <w:rPr>
                <w:rFonts w:ascii="Times New Roman" w:hAnsi="Times New Roman" w:cs="Times New Roman"/>
              </w:rPr>
              <w:t xml:space="preserve"> </w:t>
            </w:r>
            <w:r w:rsidR="007D14BE"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4E4975" w:rsidRPr="00BD0753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vAlign w:val="center"/>
          </w:tcPr>
          <w:p w14:paraId="5C171618" w14:textId="77777777" w:rsidR="009E02D6" w:rsidRDefault="000C19FD" w:rsidP="004E4975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</w:rPr>
            </w:pPr>
            <w:r w:rsidRPr="000C19FD">
              <w:rPr>
                <w:rFonts w:ascii="Times New Roman" w:hAnsi="Times New Roman" w:cs="Times New Roman"/>
              </w:rPr>
              <w:t>Материально - техническая база (</w:t>
            </w:r>
            <w:r w:rsidRPr="000C19FD">
              <w:rPr>
                <w:rFonts w:ascii="Times New Roman" w:hAnsi="Times New Roman" w:cs="Times New Roman"/>
                <w:i/>
              </w:rPr>
              <w:t xml:space="preserve">Форма 5) </w:t>
            </w:r>
          </w:p>
          <w:p w14:paraId="19EA76E8" w14:textId="698716AE" w:rsidR="00941079" w:rsidRPr="000C19FD" w:rsidRDefault="000C19FD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i/>
              </w:rPr>
              <w:t xml:space="preserve">Копии </w:t>
            </w:r>
            <w:proofErr w:type="spellStart"/>
            <w:r w:rsidRPr="000C19FD">
              <w:rPr>
                <w:rFonts w:ascii="Times New Roman" w:hAnsi="Times New Roman" w:cs="Times New Roman"/>
                <w:i/>
              </w:rPr>
              <w:t>св-ва</w:t>
            </w:r>
            <w:proofErr w:type="spellEnd"/>
            <w:r w:rsidRPr="000C19FD">
              <w:rPr>
                <w:rFonts w:ascii="Times New Roman" w:hAnsi="Times New Roman" w:cs="Times New Roman"/>
                <w:i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52E072D4" w14:textId="0A1C406F" w:rsidR="004E4975" w:rsidRPr="00CF6377" w:rsidRDefault="004E4975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77777777" w:rsidR="004E4975" w:rsidRPr="007951C4" w:rsidRDefault="004E4975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4E4975" w:rsidRDefault="009E02D6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7D14BE" w:rsidRPr="004E4975">
              <w:rPr>
                <w:rFonts w:ascii="Times New Roman" w:hAnsi="Times New Roman" w:cs="Times New Roman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7552C069" w14:textId="77777777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43D84671" w:rsidR="007D14BE" w:rsidRPr="007951C4" w:rsidRDefault="000C19FD" w:rsidP="00FC5318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6384304A" w14:textId="7CCB78F2" w:rsidR="007D14BE" w:rsidRPr="00CF6377" w:rsidRDefault="007D14BE" w:rsidP="00CF63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</w:t>
            </w:r>
            <w:proofErr w:type="gramStart"/>
            <w:r w:rsidRPr="00CF6377">
              <w:rPr>
                <w:rFonts w:ascii="Times New Roman" w:hAnsi="Times New Roman" w:cs="Times New Roman"/>
              </w:rPr>
              <w:t>»</w:t>
            </w:r>
            <w:r w:rsidR="000C205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C205D">
              <w:rPr>
                <w:rFonts w:ascii="Times New Roman" w:hAnsi="Times New Roman" w:cs="Times New Roman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EF7A77C" w14:textId="77777777" w:rsidTr="00FC5318">
        <w:tc>
          <w:tcPr>
            <w:tcW w:w="1242" w:type="dxa"/>
            <w:vAlign w:val="center"/>
          </w:tcPr>
          <w:p w14:paraId="6EE23CE5" w14:textId="60B19950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53DD6724" w:rsidR="007D14BE" w:rsidRPr="007951C4" w:rsidRDefault="000C19FD" w:rsidP="00FC5318">
            <w:pPr>
              <w:spacing w:before="0" w:after="200" w:line="31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Среднегодовая выручка </w:t>
            </w:r>
            <w:r w:rsidR="004A1C59">
              <w:rPr>
                <w:rFonts w:ascii="Times New Roman" w:eastAsia="Times New Roman" w:hAnsi="Times New Roman" w:cs="Times New Roman"/>
                <w:bCs/>
              </w:rPr>
              <w:t xml:space="preserve">предприятия </w:t>
            </w:r>
            <w:r w:rsidRPr="000C19FD">
              <w:rPr>
                <w:rFonts w:ascii="Times New Roman" w:eastAsia="Times New Roman" w:hAnsi="Times New Roman" w:cs="Times New Roman"/>
                <w:bCs/>
              </w:rPr>
              <w:t>за последние 3 года в размере: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18537439" w:rsidR="007D14BE" w:rsidRPr="007951C4" w:rsidRDefault="00941079" w:rsidP="000C205D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vAlign w:val="center"/>
          </w:tcPr>
          <w:p w14:paraId="59203386" w14:textId="04397727" w:rsidR="00F960B5" w:rsidRPr="000C205D" w:rsidRDefault="00F960B5" w:rsidP="001B3ED0">
            <w:pPr>
              <w:spacing w:before="0" w:after="200" w:line="312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Величина</w:t>
            </w:r>
            <w:r w:rsidR="000C19FD" w:rsidRPr="000C19FD">
              <w:rPr>
                <w:rFonts w:ascii="Times New Roman" w:eastAsia="Times New Roman" w:hAnsi="Times New Roman" w:cs="Times New Roman"/>
                <w:bCs/>
              </w:rPr>
              <w:t xml:space="preserve"> гарантийного срока оказания услуг и (или) выполнения проектн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 xml:space="preserve">ых работ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(не менее 5 лет 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>согласно ст. 182 ЖК РФ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F6377" w:rsidRDefault="007D14BE" w:rsidP="00284307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7951C4" w:rsidRDefault="007D14BE" w:rsidP="00DA52D4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7777777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(необязательная)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ПЕРЕЧЕНЬ АФФИЛИРОВАННЫХ ОРГАНИЗАЦИЙ</w:t>
      </w:r>
    </w:p>
    <w:p w14:paraId="04D8E28E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826BF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F7339F7" w14:textId="77777777" w:rsidR="007D14BE" w:rsidRPr="007951C4" w:rsidRDefault="007D14BE" w:rsidP="007D14BE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2126"/>
        <w:gridCol w:w="1417"/>
        <w:gridCol w:w="1560"/>
        <w:gridCol w:w="1700"/>
        <w:gridCol w:w="1134"/>
      </w:tblGrid>
      <w:tr w:rsidR="007D14BE" w:rsidRPr="007951C4" w14:paraId="4A82967C" w14:textId="77777777" w:rsidTr="007D14BE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384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8414C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D7BD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4E2B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B3B4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 факс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1A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C3BA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90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47C0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7DCE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</w:p>
        </w:tc>
      </w:tr>
      <w:tr w:rsidR="007D14BE" w:rsidRPr="007951C4" w14:paraId="3FDE7CB8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E39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2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A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AF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97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8A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77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BDE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B2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CC54A2C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D1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B9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8D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A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15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E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A7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F3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88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39FD397A" w14:textId="77777777" w:rsidTr="007D14BE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AF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F5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F4C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5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7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56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3F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3B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0674769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38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967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B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0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B7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4F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DB6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4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5B129B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2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6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93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38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78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BF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FC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7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F0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1B19D951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9D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FD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1A6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E5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6B1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9B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2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A1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0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43428C8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05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26F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7C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B1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A0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95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E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6AD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E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594F1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D16B23">
      <w:pPr>
        <w:pStyle w:val="1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D16B23">
      <w:pPr>
        <w:pStyle w:val="1"/>
        <w:numPr>
          <w:ilvl w:val="0"/>
          <w:numId w:val="0"/>
        </w:numPr>
        <w:ind w:left="3970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3"/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17553" w:rsidRDefault="00317553" w:rsidP="00E159BA">
      <w:pPr>
        <w:spacing w:before="0"/>
      </w:pPr>
      <w:r>
        <w:separator/>
      </w:r>
    </w:p>
  </w:endnote>
  <w:endnote w:type="continuationSeparator" w:id="0">
    <w:p w14:paraId="308715E4" w14:textId="77777777" w:rsidR="00317553" w:rsidRDefault="0031755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317553" w:rsidRDefault="0031755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317553" w:rsidRDefault="0031755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Content>
      <w:p w14:paraId="38A3F04F" w14:textId="2D9F85A0" w:rsidR="00317553" w:rsidRDefault="003175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CC">
          <w:rPr>
            <w:noProof/>
          </w:rPr>
          <w:t>17</w:t>
        </w:r>
        <w:r>
          <w:fldChar w:fldCharType="end"/>
        </w:r>
      </w:p>
    </w:sdtContent>
  </w:sdt>
  <w:p w14:paraId="16EAED08" w14:textId="77777777" w:rsidR="00317553" w:rsidRDefault="0031755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Content>
      <w:p w14:paraId="79AC080D" w14:textId="291A2CB5" w:rsidR="00317553" w:rsidRDefault="0031755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CC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317553" w:rsidRDefault="0031755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317553" w:rsidRPr="00FF2142" w:rsidRDefault="00317553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17553" w:rsidRDefault="0031755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17553" w:rsidRDefault="00317553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317553" w:rsidRDefault="0031755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17553" w:rsidRDefault="00317553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17553" w:rsidRDefault="00317553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317553" w:rsidRPr="005E28CC" w:rsidRDefault="00317553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317553" w:rsidRDefault="0031755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317553" w:rsidRDefault="00317553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317553" w:rsidRDefault="00317553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317553" w:rsidRDefault="0031755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681C"/>
    <w:rsid w:val="00067462"/>
    <w:rsid w:val="0007082C"/>
    <w:rsid w:val="00083E3F"/>
    <w:rsid w:val="00092584"/>
    <w:rsid w:val="00092F9A"/>
    <w:rsid w:val="000957C2"/>
    <w:rsid w:val="00096FF8"/>
    <w:rsid w:val="000A1C1C"/>
    <w:rsid w:val="000B1ECF"/>
    <w:rsid w:val="000B790D"/>
    <w:rsid w:val="000C131D"/>
    <w:rsid w:val="000C19FD"/>
    <w:rsid w:val="000C205D"/>
    <w:rsid w:val="000C6F6B"/>
    <w:rsid w:val="000D0E1D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B3ED0"/>
    <w:rsid w:val="001C123E"/>
    <w:rsid w:val="001C38E4"/>
    <w:rsid w:val="001C3E40"/>
    <w:rsid w:val="001C42BF"/>
    <w:rsid w:val="001C51E5"/>
    <w:rsid w:val="001C58DC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84307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2013"/>
    <w:rsid w:val="002B3A64"/>
    <w:rsid w:val="002B3BDD"/>
    <w:rsid w:val="002B53C7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3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57E04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402AE1"/>
    <w:rsid w:val="00405029"/>
    <w:rsid w:val="0041567F"/>
    <w:rsid w:val="00420E5E"/>
    <w:rsid w:val="00422FC1"/>
    <w:rsid w:val="004274D2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439D3"/>
    <w:rsid w:val="00544365"/>
    <w:rsid w:val="005467A4"/>
    <w:rsid w:val="00547590"/>
    <w:rsid w:val="005536A2"/>
    <w:rsid w:val="0056252D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545B"/>
    <w:rsid w:val="00606E9C"/>
    <w:rsid w:val="0061050F"/>
    <w:rsid w:val="006143A1"/>
    <w:rsid w:val="006175A4"/>
    <w:rsid w:val="00627C0E"/>
    <w:rsid w:val="00627E96"/>
    <w:rsid w:val="006331A7"/>
    <w:rsid w:val="00646094"/>
    <w:rsid w:val="00647219"/>
    <w:rsid w:val="00655B43"/>
    <w:rsid w:val="00656A07"/>
    <w:rsid w:val="00656A38"/>
    <w:rsid w:val="006649BB"/>
    <w:rsid w:val="00667810"/>
    <w:rsid w:val="00674F84"/>
    <w:rsid w:val="00676109"/>
    <w:rsid w:val="0068422F"/>
    <w:rsid w:val="006860A1"/>
    <w:rsid w:val="00690A9C"/>
    <w:rsid w:val="00693FC9"/>
    <w:rsid w:val="006943F2"/>
    <w:rsid w:val="0069567D"/>
    <w:rsid w:val="00695EA6"/>
    <w:rsid w:val="006A422A"/>
    <w:rsid w:val="006A673C"/>
    <w:rsid w:val="006B43E6"/>
    <w:rsid w:val="006B5052"/>
    <w:rsid w:val="006B7524"/>
    <w:rsid w:val="006B7E76"/>
    <w:rsid w:val="006B7F48"/>
    <w:rsid w:val="006C1946"/>
    <w:rsid w:val="006C34B8"/>
    <w:rsid w:val="006D7F71"/>
    <w:rsid w:val="006F080C"/>
    <w:rsid w:val="006F279F"/>
    <w:rsid w:val="007033D7"/>
    <w:rsid w:val="00704DDA"/>
    <w:rsid w:val="00707AAE"/>
    <w:rsid w:val="007139F3"/>
    <w:rsid w:val="00715902"/>
    <w:rsid w:val="007159A5"/>
    <w:rsid w:val="0072374D"/>
    <w:rsid w:val="00724A5E"/>
    <w:rsid w:val="00724B56"/>
    <w:rsid w:val="00724D9D"/>
    <w:rsid w:val="0072508A"/>
    <w:rsid w:val="00727D8F"/>
    <w:rsid w:val="00733AB9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7EFE"/>
    <w:rsid w:val="00863B55"/>
    <w:rsid w:val="00870E17"/>
    <w:rsid w:val="008725F7"/>
    <w:rsid w:val="008771AD"/>
    <w:rsid w:val="00885CDB"/>
    <w:rsid w:val="00886921"/>
    <w:rsid w:val="00893D4E"/>
    <w:rsid w:val="00895931"/>
    <w:rsid w:val="00896829"/>
    <w:rsid w:val="00896ED7"/>
    <w:rsid w:val="00897A28"/>
    <w:rsid w:val="00897E67"/>
    <w:rsid w:val="008A2171"/>
    <w:rsid w:val="008B1A88"/>
    <w:rsid w:val="008B463C"/>
    <w:rsid w:val="008B5638"/>
    <w:rsid w:val="008B722C"/>
    <w:rsid w:val="008C0D2C"/>
    <w:rsid w:val="008C34DF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12E01"/>
    <w:rsid w:val="009141BA"/>
    <w:rsid w:val="009154EF"/>
    <w:rsid w:val="00915A8E"/>
    <w:rsid w:val="00921292"/>
    <w:rsid w:val="00925174"/>
    <w:rsid w:val="0092678D"/>
    <w:rsid w:val="009328C4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96C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3533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B4C2E"/>
    <w:rsid w:val="00AB52CC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6A08"/>
    <w:rsid w:val="00B914CB"/>
    <w:rsid w:val="00BA60C9"/>
    <w:rsid w:val="00BB2DE1"/>
    <w:rsid w:val="00BB7628"/>
    <w:rsid w:val="00BC0C58"/>
    <w:rsid w:val="00BC1416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B251B"/>
    <w:rsid w:val="00CB42E4"/>
    <w:rsid w:val="00CC04BD"/>
    <w:rsid w:val="00CC3474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52D4"/>
    <w:rsid w:val="00DA63F7"/>
    <w:rsid w:val="00DA674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E11C7F"/>
    <w:rsid w:val="00E120DA"/>
    <w:rsid w:val="00E12FBD"/>
    <w:rsid w:val="00E13B53"/>
    <w:rsid w:val="00E13D43"/>
    <w:rsid w:val="00E159BA"/>
    <w:rsid w:val="00E1613A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0F8B"/>
    <w:rsid w:val="00EF48BB"/>
    <w:rsid w:val="00F00149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E90"/>
    <w:rsid w:val="00FD17DF"/>
    <w:rsid w:val="00FD2C10"/>
    <w:rsid w:val="00FD536E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4497"/>
    <o:shapelayout v:ext="edit">
      <o:idmap v:ext="edit" data="1"/>
    </o:shapelayout>
  </w:shapeDefaults>
  <w:decimalSymbol w:val=","/>
  <w:listSeparator w:val=";"/>
  <w14:docId w14:val="08772690"/>
  <w15:docId w15:val="{3B301CCF-5408-4DC2-A50B-4BD23B2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AC6675-716C-44B3-9C90-4EC19E11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2016-08-23T12:04:00Z</cp:lastPrinted>
  <dcterms:created xsi:type="dcterms:W3CDTF">2016-08-23T06:27:00Z</dcterms:created>
  <dcterms:modified xsi:type="dcterms:W3CDTF">2016-08-23T12:22:00Z</dcterms:modified>
</cp:coreProperties>
</file>